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</w:r>
    </w:p>
    <w:tbl>
      <w:tblPr>
        <w:tblStyle w:val="af1"/>
        <w:tblW w:w="10195" w:type="dxa"/>
        <w:jc w:val="left"/>
        <w:tblInd w:w="0" w:type="dxa"/>
        <w:tblCellMar>
          <w:top w:w="0" w:type="dxa"/>
          <w:left w:w="1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2"/>
                <w:szCs w:val="20"/>
                <w:lang w:eastAsia="ru-RU"/>
              </w:rPr>
            </w:r>
          </w:p>
        </w:tc>
      </w:tr>
    </w:tbl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2"/>
          <w:szCs w:val="22"/>
        </w:rPr>
        <w:t xml:space="preserve">Договор электроснабжения № 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                </w:t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Style w:val="af1"/>
        <w:tblW w:w="10195" w:type="dxa"/>
        <w:jc w:val="left"/>
        <w:tblInd w:w="0" w:type="dxa"/>
        <w:tblCellMar>
          <w:top w:w="0" w:type="dxa"/>
          <w:left w:w="1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5097"/>
      </w:tblGrid>
      <w:tr>
        <w:trPr/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город Пятигорск </w:t>
            </w:r>
          </w:p>
          <w:p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  <w:highlight w:val="white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>«___» ____________ 20__ г.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                                         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ab/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Акционерное общество </w:t>
      </w:r>
      <w:bookmarkStart w:id="0" w:name="_Hlk64299418"/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«Пятигорские электрические </w:t>
      </w:r>
      <w:r>
        <w:rPr>
          <w:rFonts w:cs="Times New Roman" w:ascii="Times New Roman" w:hAnsi="Times New Roman"/>
          <w:b/>
          <w:color w:val="000000" w:themeColor="text1"/>
          <w:sz w:val="22"/>
          <w:szCs w:val="22"/>
          <w:highlight w:val="white"/>
        </w:rPr>
        <w:t xml:space="preserve">сети» </w:t>
      </w:r>
      <w:bookmarkEnd w:id="0"/>
      <w:r>
        <w:rPr>
          <w:rFonts w:cs="Times New Roman" w:ascii="Times New Roman" w:hAnsi="Times New Roman"/>
          <w:b/>
          <w:color w:val="000000" w:themeColor="text1"/>
          <w:sz w:val="22"/>
          <w:szCs w:val="22"/>
          <w:highlight w:val="white"/>
        </w:rPr>
        <w:t>(АО «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Пятигорские электрические сети»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), именуемое в дальнейшем </w:t>
      </w: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highlight w:val="white"/>
        </w:rPr>
        <w:t>ресурсоснабжающей организацией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в лице</w:t>
      </w:r>
      <w:r>
        <w:rPr>
          <w:rFonts w:cs="Courier New" w:ascii="Times New Roman" w:hAnsi="Times New Roman"/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генерального директора Писаренко Вячеслава Ивановича, действующего на основании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Устава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и _____________________________________________________________,паспорта______________________________________выданного____________________________________________________________________,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дата рождения_______________место рождения ____________________________________________, адрес регистрации_________________________________________________________________________________,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номер телефона ______________________________________________________________________________,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e-mail (при наличии) 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именуемый в дальнейшем 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потребителем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с другой стороны, совместно именуемые в дальнейшем Сторонами, заключили настоящий договор о нижеследующем: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Предмет договора</w:t>
      </w:r>
    </w:p>
    <w:p>
      <w:pPr>
        <w:pStyle w:val="ConsPlusNonformat"/>
        <w:numPr>
          <w:ilvl w:val="0"/>
          <w:numId w:val="4"/>
        </w:numPr>
        <w:jc w:val="both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По настоящему договору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ресурсоснабжающая организация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обязуется предоставлять потребителю   коммунальную услугу по электроснабжению жилого помещения в многоквартирном доме по адресу: ____________________________________________________________________________________________, принадлежащее потребителю на праве собственности (владения), согласно ____________________________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том числе потребляемую при содержании и использовании общего имущества в многоквартирном   доме в случаях, предусмотренных законодательством Российской Федерации (далее - коммунальная услуга), а потребитель обязуется вносить ресурсоснабжающей организации оплату за коммунальную услугу в сроки и в порядке, установленные законодательством Российской Федерации и настоящим договором, а также соблюдать иные требования, предусмотренные законодательством Российской Федерации и настоящим договором.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Дата начала предоставления коммунальной услуги </w:t>
      </w:r>
      <w:bookmarkStart w:id="1" w:name="__DdeLink__3294_3251068659"/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«___» ________ 20__ г.</w:t>
      </w:r>
      <w:bookmarkEnd w:id="1"/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Общие положения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Параметры жилого помещения потребителя: общая площадь жилого помещения ___ м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  <w:vertAlign w:val="superscript"/>
        </w:rPr>
        <w:t>2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, количество комнат ___ (далее - жилое помещение потребителя), тип плиты ________________, наличие водонагревателя (да/нет) ______. Количество постоянно проживающих _____ человек, количество собственников____  человек. </w:t>
      </w:r>
    </w:p>
    <w:p>
      <w:pPr>
        <w:pStyle w:val="ConsPlusNonformat"/>
        <w:numPr>
          <w:ilvl w:val="0"/>
          <w:numId w:val="4"/>
        </w:numPr>
        <w:jc w:val="both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Параметры многоквартирного дома, в котором расположено жилое помещение потребителя: общая площадь помещений, входящих в состав общ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его имущества ___________ м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  <w:vertAlign w:val="superscript"/>
        </w:rPr>
        <w:t>2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; общая площадь жилых и нежилых </w:t>
      </w:r>
      <w:bookmarkStart w:id="2" w:name="_Hlk64270806"/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помещений в многоквартирном доме ____________ м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  <w:vertAlign w:val="superscript"/>
        </w:rPr>
        <w:t>2</w:t>
      </w:r>
      <w:bookmarkEnd w:id="2"/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Доставка платежных документов на оплату коммунальных услуг и уведомлений, предусмотренных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«О предоставлении коммунальных услуг собственникам и пользователям помещений в многоквартирных домах и жилых домов» (далее - Правила предоставления коммунальных услуг),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почтовому адресу ___________________________________________________________________;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адресу электронной почты ____________ (без направления копии на бумажном носителе);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через личный кабинет потребителя на официальном сайте ресурсоснабжающей организации в информационно-телекоммуникационной сети «Интернет» (далее - сеть Интернет)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www.elseti.ru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 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val="en-US" w:eastAsia="en-US"/>
        </w:rPr>
        <w:t>www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>.dom.gosuslugi.ru.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Если способ доставки не указан Сторонами в настоящем договоре, то доставка осуществляется по почтовому адресу жилого помещения потребителя, в отношении которого заключается настоящий договор.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по электронной почте и (или) через личный кабинет потребителя на официальном сайте ресурсоснабжающей организации в сети Интернет, считаются надлежащим образом доставленными на следующий календарный день после: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отправления ресурсоснабжающей организацией на адрес электронной почты, предоставленный потребителем;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размещения ресурсоснабжающей организацией в личном кабинете потребителя на официальном сайте ресурсоснабжающей организации в сети Интернет.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платежным агентам, считаются доставленными на следующий день после отправки платежных документов платежным агентам.</w:t>
      </w:r>
    </w:p>
    <w:p>
      <w:pPr>
        <w:pStyle w:val="Normal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            </w:t>
      </w:r>
      <w:r>
        <w:rPr>
          <w:color w:val="000000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путем размещения на официальном сайте ресурсоснабжающей организации.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Расчетным периодом для оплаты коммунальных услуг является 1 календарный месяц (далее - расчетный период).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Обязанности и права Сторон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Ресурсоснабжающая организация обязана: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color w:val="00206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осуществлять предоставление коммунальной услуги электроснабжения потребителю, при соблюдении им условий настоящего договора, в необходимых для него объемах, в пределах разрешенной техническими условиями мощности, в соответствии с действующим ГОСТом, с обеспечением третьей категорией надёжности и надлежащего качества в соответствии с требованиями законодательства Российской Федерации и настоящего договора;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highlight w:val="white"/>
          <w:lang w:eastAsia="en-US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производить расчет размера платы за коммунальную услугу и его изменения в случаях и порядке, которые предусмотрены Правилами предоставления коммунальных услуг;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25-го числа расчетного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 состояния указанных приборов учета и достоверности предоставленных потребителем сведений об их показаниях в порядке, предусмотренном пунктами 82 - 85(3) Правил предоставления коммунальных услуг. После присоединения приборов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принимать в порядке и сроки, которые установлены Правилами предоставления коммунальных услуг,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качества коммунальных услуг, - также акта, фиксирующего вред, причиненный жизни, здоровью или имуществу потребителя;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обеспечить доставку потребителю платежных документов на оплату коммунальных услуг способом, определенным в пункте 5 настоящего договора;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Ресурсоснабжающая организация имеет право: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приостанавливать или ограничивать предоставление коммунальной услуги по основаниям и в порядке, которые установлены законодательством Российской Федерации;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устанавливать количество граждан, проживающих (в том числе временно) в жилом помещении потребителя, в случае, если жилое помещение потребителя не оборудовано индивидуальным или общим (квартирным) прибором учета электрической энергии, и составлять акт об установлении количества граждан, временно проживающих в жилом помещении, в порядке, предусмотренном пунктом 56(1) Правил предоставления коммунальных услуг;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индивидуального предпринимателя для выполнения функций, предусмотренных подпунктом «е» пункта 32 Правил предоставления коммунальных услуг;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 и настоящим договором.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производить проверку условий эксплуатации и сохранности приборов учета, снятие контрольных показаний самостоятельно или с привлечением третьих лиц;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осуществлять не чаще 1 раза в 3 месяца проверку достоверности передаваемых потребителем сведений о показаниях индивидуальных, общих (квартирных), комнатных приборов учета (распределителей), установленных в жилых помещениях, путем посещения помещений, в которых установлены эти приборы учета, а также проверку состояния указанных приборов учета (не чаще 1 раза в месяц в случае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установки указанных приборов учета вне помещений в месте, доступ исполнителя к которому может быть осуществлен без присутствия потребителя, и в нежилых помещениях).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Потребитель обязан: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своевременно и в полном объеме вносить ресурсоснабжающей организации оплату за коммунальную услугу в сроки и в порядке, которые установлены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обнаружении неисправностей, пожара и аварий во внутриквартирном оборудовании, внутридомовых инженерных системах, а также при обнаружении иных нарушений качества предоставления коммунальных услуг немедленно сообщать о них ресурсоснабжающей организации,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потребительским кооперативом, осуществляющими управление многоквартирным домом, а при наличии возможности - принимать все меры по устранению таких неисправностей, пожара и аварий;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обеспечить оснащение жилого помещения приборами учета электрической энергии, а также ввод в эксплуатацию установленного прибора учета, за исключением случаев, когда обязанность по установке и вводу в эксплуатацию приборов учета электрической энергии возложена на ресурсоснабжающую организации (Сетевую организацию),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 установки таких приборов учета;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выхода прибора учета из строя (неисправности), в том числе неотображения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незамедлительно известить об этом ресурсоснабжающую организацию и сообщить показания прибора учета на момент его выхода из строя (возникновения неисправности);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случае, если требуется проведение демонтажа прибора учета, известить ресурсосберегающий организацию не позднее чем за 2 рабочих дня до проведения соответствующих работ. Выполнять демонтаж прибора учета, а также его последующий монтаж в присутствии представителей ресурсоснабжающей организации, за исключением случаев, если такие представители не явились к сроку демонтажа прибора учета, указанному в извещении;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допускать представителя ресурсоснабжающей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информировать ресурсосберегающую организацию способом, подтверждающим факт и дату получения такой информации, об увеличении или уменьшении числа граждан, проживающих (в том числе временно) в жилом помещении потребителя в случае, если жилое помещение потребителя не оборудовано прибором учета, не позднее 5 рабочих дней со дня произошедших изменений;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возмещать ресурсоснабжающей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 осуществлять действия, предусмотренные пунктом 35 Правил предоставления коммунальных услуг;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Потребитель имеет право: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получать в необходимых объемах коммунальную услугу надлежащего качества;</w:t>
      </w:r>
    </w:p>
    <w:p>
      <w:pPr>
        <w:pStyle w:val="ConsPlusNormal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наличии прибора учета ежемесячно снимать его показания с 23-го по 25-е число и передавать их ресурсоснабжающей организации или уполномоченному ею лицу. Показания приборов учета потребитель направляет любым из следующих способов: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>через личный кабинет на сайте ресурсоснабжающей организации www.elseti.ru;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www</w:t>
      </w:r>
      <w:r>
        <w:rPr>
          <w:bCs/>
          <w:color w:val="000000"/>
          <w:sz w:val="22"/>
          <w:szCs w:val="22"/>
          <w:highlight w:val="white"/>
          <w:lang w:eastAsia="en-US"/>
        </w:rPr>
        <w:t>.dom.gosuslugi.ru;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color w:val="C00000"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через 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WhatsApp</w:t>
      </w:r>
      <w:r>
        <w:rPr>
          <w:bCs/>
          <w:color w:val="000000"/>
          <w:sz w:val="22"/>
          <w:szCs w:val="22"/>
          <w:highlight w:val="white"/>
          <w:lang w:eastAsia="en-US"/>
        </w:rPr>
        <w:t xml:space="preserve"> по телефону 8-928-822-67-00 (круглосуточно);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color w:val="C00000"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>по телефону 8-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8793</w:t>
      </w:r>
      <w:r>
        <w:rPr>
          <w:bCs/>
          <w:color w:val="000000"/>
          <w:sz w:val="22"/>
          <w:szCs w:val="22"/>
          <w:highlight w:val="white"/>
          <w:lang w:eastAsia="en-US"/>
        </w:rPr>
        <w:t>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33</w:t>
      </w:r>
      <w:r>
        <w:rPr>
          <w:bCs/>
          <w:color w:val="000000"/>
          <w:sz w:val="22"/>
          <w:szCs w:val="22"/>
          <w:highlight w:val="white"/>
          <w:lang w:eastAsia="en-US"/>
        </w:rPr>
        <w:t>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05-74</w:t>
      </w:r>
      <w:r>
        <w:rPr>
          <w:bCs/>
          <w:color w:val="000000"/>
          <w:sz w:val="22"/>
          <w:szCs w:val="22"/>
          <w:highlight w:val="white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/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по электронной почте: </w:t>
      </w:r>
      <w:hyperlink r:id="rId2">
        <w:r>
          <w:rPr>
            <w:rStyle w:val="Style14"/>
            <w:bCs/>
            <w:color w:val="000000"/>
            <w:sz w:val="22"/>
            <w:szCs w:val="22"/>
            <w:highlight w:val="white"/>
            <w:lang w:val="en-US" w:eastAsia="en-US"/>
          </w:rPr>
          <w:t>Krivova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eastAsia="en-US"/>
          </w:rPr>
          <w:t>@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val="en-US" w:eastAsia="en-US"/>
          </w:rPr>
          <w:t>elseti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eastAsia="en-US"/>
          </w:rPr>
          <w:t>.ru</w:t>
        </w:r>
      </w:hyperlink>
      <w:r>
        <w:rPr>
          <w:bCs/>
          <w:color w:val="000000"/>
          <w:sz w:val="22"/>
          <w:szCs w:val="22"/>
          <w:highlight w:val="white"/>
          <w:lang w:eastAsia="en-US"/>
        </w:rPr>
        <w:t>;</w:t>
      </w:r>
    </w:p>
    <w:p>
      <w:pPr>
        <w:pStyle w:val="ConsPlusNormal"/>
        <w:numPr>
          <w:ilvl w:val="0"/>
          <w:numId w:val="2"/>
        </w:numPr>
        <w:ind w:left="709" w:hanging="142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при оплате в терминалах самообслуживания, Сбербанк онлайн, в кассах Сбербанка, Почты, ЕРКЦ. </w:t>
      </w:r>
    </w:p>
    <w:p>
      <w:pPr>
        <w:pStyle w:val="ConsPlusNormal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получать от ресурсоснабжающей организации 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ресурсоснабжающей организацией потребителю неустоек (штрафов, пеней);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требовать от ресурсоснабжающей организации изменения размера платы за коммунальную услугу в случаях и порядке, которые установлены Правилами предоставления коммунальных услуг;</w:t>
      </w:r>
    </w:p>
    <w:p>
      <w:pPr>
        <w:pStyle w:val="ConsPlusNormal"/>
        <w:numPr>
          <w:ilvl w:val="0"/>
          <w:numId w:val="8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Федерации.</w:t>
      </w:r>
    </w:p>
    <w:p>
      <w:pPr>
        <w:pStyle w:val="ConsPlusNormal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Учет объема (количества) коммунальной услуги, предоставленной потребителю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измерений. В случаях замены прибора учета, предусмотренных Правилами предоставления коммунальных услуг, сведения о приборе учета, указываются в актах допуска в эксплуатацию прибора учета представителем ресурсоснабжающей организации, являющихся неотъемлемой частью настоящего договора.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Style w:val="af1"/>
        <w:tblW w:w="1076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1134"/>
        <w:gridCol w:w="957"/>
        <w:gridCol w:w="957"/>
        <w:gridCol w:w="1468"/>
        <w:gridCol w:w="1211"/>
        <w:gridCol w:w="1565"/>
        <w:gridCol w:w="1730"/>
        <w:gridCol w:w="1250"/>
      </w:tblGrid>
      <w:tr>
        <w:trPr/>
        <w:tc>
          <w:tcPr>
            <w:tcW w:w="495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10272" w:type="dxa"/>
            <w:gridSpan w:val="8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ru-RU"/>
              </w:rPr>
              <w:t>Сведения о приборе учета электроэнергии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  <w:highlight w:val="white"/>
                <w:lang w:eastAsia="ru-RU"/>
              </w:rPr>
            </w:pPr>
            <w:r>
              <w:rPr>
                <w:b/>
                <w:bCs/>
                <w:color w:val="C00000"/>
                <w:sz w:val="22"/>
                <w:szCs w:val="22"/>
                <w:highlight w:val="white"/>
                <w:lang w:eastAsia="ru-RU"/>
              </w:rPr>
            </w:r>
          </w:p>
        </w:tc>
      </w:tr>
      <w:tr>
        <w:trPr/>
        <w:tc>
          <w:tcPr>
            <w:tcW w:w="49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Место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установки прибора учета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  <w:highlight w:val="white"/>
                <w:lang w:eastAsia="ru-RU"/>
              </w:rPr>
            </w:pPr>
            <w:r>
              <w:rPr>
                <w:bCs/>
                <w:color w:val="C00000"/>
                <w:sz w:val="22"/>
                <w:szCs w:val="22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Тип прибора учета</w:t>
            </w:r>
          </w:p>
        </w:tc>
        <w:tc>
          <w:tcPr>
            <w:tcW w:w="95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Коэффициент учета</w:t>
            </w:r>
          </w:p>
        </w:tc>
        <w:tc>
          <w:tcPr>
            <w:tcW w:w="121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Начальные показания прибора учета</w:t>
            </w:r>
          </w:p>
        </w:tc>
        <w:tc>
          <w:tcPr>
            <w:tcW w:w="156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Дата установки прибора учета (введения в эксплуатацию)</w:t>
            </w:r>
          </w:p>
        </w:tc>
        <w:tc>
          <w:tcPr>
            <w:tcW w:w="173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Дата опломбирования</w:t>
            </w:r>
            <w:r>
              <w:rPr>
                <w:bCs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25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Срок проведения очередной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поверки</w:t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отсутствие приборов учета определение объема (количества) коммунальной услуги, предоставленной потребителю, осуществляется по нормативу потребления электрической энергии, а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также расчетными способами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в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установленном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порядке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и случаях при их наступлении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предусмотренных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определении объема (количества) коммунальной услуги, предоставленной потребителю, показания приборов учета, переданные потребителем не позднее 25-го числа расчетного периода, учитываются в расчетном периоде в порядке, установленном законодательством Российской Федерации.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При обнаружении осуществленного с нарушением установленного порядка подключения оборудования потребителя к внутридомовым инженерным системам производится доначисление размера платы за потребленную электроэнергию исходя из объемов коммунального ресурса, рассчитанных как произведение мощности несанкционированно подключенного оборудования и его круглосуточной работы за период начиная с даты осуществления несанкционированного подключения, указанной в акте о выявлении несанкционированного подключения, а в случае невозможности установления даты осуществления несанкционированного подключения - с даты проведения предыдущей проверки, но не более чем за 3 месяца, предшествующие месяцу, в котором выявлено такое подключение, до даты устранения такого несанкционированного подключения.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объема, определенного на основании норматива потребления соответствующих коммунальных услуг с применением к такому объему повышающего коэффициента 10.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 xml:space="preserve">При обнаружении факта </w:t>
      </w:r>
      <w:r>
        <w:rPr>
          <w:rFonts w:eastAsia="Calibri" w:eastAsiaTheme="minorHAnsi"/>
          <w:b/>
          <w:i/>
          <w:color w:val="000000"/>
          <w:sz w:val="22"/>
          <w:szCs w:val="22"/>
          <w:highlight w:val="white"/>
          <w:lang w:eastAsia="en-US"/>
        </w:rPr>
        <w:t xml:space="preserve">несанкционированного вмешательства в работу индивидуального прибора учета </w:t>
      </w: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(нарушение целостности прибора учета, наличие механических повреждений, наличие не предусмотренных изготовителем отверстий или трещин, не плотное прилегание стекла индикатора, отсутствие и нарушение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наличие свободного доступа к элементам коммутации (узлам, зажимам) прибора учета, позволяющим осуществлять вмешательство в работу прибора учета) производится перерасчет размера платы за потребленную электроэнергию исходя из объема, рассчитанного на основании нормативов потребления соответствующих коммунальных услуг с применением повышающего коэффициента 10, за период, начиная с даты установления указанных пломб или устройств, но не ранее чем с даты проведения исполнителем предыдущей проверки и не более чем за 3 месяца, предшествующие дате проверки прибора учета, при которой выявлено несанкционированное вмешательство в работу прибора учета, и до даты устранения такого вмешательства.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При недопуске 2 и более раз потребителем в занимаемое им жилое и (или) нежилое помещение представителей ресурсоснабжающей организации и (или) Сетевой организации для проверки состояния установленных и введенных в эксплуатацию индивидуальных, общих (квартирных) приборов учета, проверки достоверности представленных сведений о показаниях таких приборов учета (при составлении акта об этом) показания такого прибора учета, предоставленные потребителем, не учитываются при расчете платы за коммунальные услуги до даты подписания акта проведения указанной проверки.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В случае непредоставления потребителем допуска в занимаемое им жилое помещение ресурсоснабжающей организации и (или) Сетевой организации по истечении 3 расчетных периодов подряд с даты составления акта об отказе в допуске к прибору учета (распределителям) размер платы за коммунальные услуги рассчитывается с учетом повышающих коэффициентов.</w:t>
      </w:r>
    </w:p>
    <w:p>
      <w:pPr>
        <w:pStyle w:val="ListParagraph"/>
        <w:ind w:left="0" w:firstLine="709"/>
        <w:jc w:val="both"/>
        <w:rPr/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 xml:space="preserve">Порядок определения количества потребленной электрической энергии установлен нормами раздела VI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Правила </w:t>
      </w:r>
      <w:r>
        <w:rPr>
          <w:color w:val="000000"/>
          <w:sz w:val="22"/>
          <w:szCs w:val="22"/>
          <w:highlight w:val="white"/>
        </w:rPr>
        <w:t>предоставления коммунальных услуг</w:t>
      </w: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Размер платы за коммунальную услугу и порядок расчетов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 Федерации о государственном регулировании цен (тарифов).</w:t>
      </w:r>
    </w:p>
    <w:p>
      <w:pPr>
        <w:pStyle w:val="Style18"/>
        <w:spacing w:before="0" w:after="0"/>
        <w:ind w:right="711" w:firstLine="709"/>
        <w:jc w:val="both"/>
        <w:rPr/>
      </w:pPr>
      <w:r>
        <w:rPr>
          <w:color w:val="000000"/>
          <w:sz w:val="22"/>
          <w:szCs w:val="22"/>
          <w:highlight w:val="white"/>
        </w:rPr>
        <w:t xml:space="preserve">Тарифы на электрическую энергию, поставляемую населению Ставропольского края и приравненным к нему категориям потребителей, устанавливаются Региональной тарифной комиссией Ставропольского края (РТК СК). Размеры тарифов, а также реквизиты нормативных правовых актов, которыми они установлены публикуются в средствах массовой информации и на официальном сайте РТК СК в сети интернет </w:t>
      </w:r>
      <w:hyperlink r:id="rId3">
        <w:r>
          <w:rPr>
            <w:rStyle w:val="ListLabel12"/>
            <w:color w:val="000000"/>
            <w:highlight w:val="white"/>
          </w:rPr>
          <w:t>www.tarif26.ru</w:t>
        </w:r>
      </w:hyperlink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Плата за коммунальные услуги вносится потребителем ресурсоснабжающей организации до 10 числа месяца, следующего за расчетным периодом.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Плата за коммунальные услуги вносится на основании платежного документа, представляемого потребителю ресурсоснабжающей организацией не позднее 1-го числа месяца, следующего за истекшим расчетным периодом, за который производится оплата.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Оплата считается произведенной с момента поступления соответствующих денежных средств на расчетный счет или в кассу ресурсоснабжающей организации или в кассу организации имеющей право принимать плату за оказанные услуги в соответствии с Федеральным законом «О банках и банковской деятельности».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Денежные средства зачисляются в следующей очередности: в первую очередь погашаются судебные расходы и расходы по совершению исполнительных действий, в оставшейся части погашается ранее образовавшаяся сумма долга, в третью очередь погашается текущее потребление.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Излишне уплаченные потребителем суммы подлежат зачету при оплате будущих расчетных периодов. Пени, предусмотренные пунктом 25 настоящего договора, погашаются после суммы основного долга.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Потребитель вправе осуществлять предварительную оплату коммунальных услуг в счет будущих расчетных периодов.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принятия в субъекте Российской Федерации решения об установлении социальной нормы потребления электрической энергии (мощности) размер платы за коммунальную услугу по электроснабжению рассчитывается по ценам (тарифам) на электрическую энергию (мощность), установленным в соответствии с законодательством Российской Федерации в пределах и сверх социальной нормы потребления электрической энергии.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подключения внутриквартирного оборудования потребителя к внутридомовым инженерным системам,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ресурсоснабжающая организация производит перерасчет и (или) доначисление платы за коммунальную услугу в порядке, предусмотренном Правилами предоставления коммунальных услуг.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Ограничение, приостановление, возобновление предоставления коммунальной услуги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Ресурсоснабжающая организация осуществляет ограничение, приостановление, возобновление предоставления коммунальной услуги потребителю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Уведомление потребителя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ограничении предоставления коммунальной услуги ресурсоснабжающая организация временно уменьшает объем (количество) подачи потребителю коммунальной услуги и (или) вводит график предоставления коммунальной услуги в течение суток.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приостановлении предоставления коммунальной услуги ресурсоснабжающая организация временно прекращает ее предоставление потребителю.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Предоставление коммунальных услуг возобновляется в сроки, установленные законодательством Российской Федерации, при условии полного погашения потребителем задолженности по оплате коммунальных услуг и возмещения расходов ресурсоснабжающей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Российской Федерации.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Ответственность Сторон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Стороны несут ответственность за неисполнение или ненадлежащее исполнение обязательств по настоящему договору в размере и порядке, которые установлены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Ресурсоснабжающая организация в соответствии с законодательством Российской Федерации несет ответственность за нарушение качества предоставления потребителю коммунальных услуг до границы раздела элементов внутридомовых инженерных систем и централизованных сетей инженерно-технического обеспечения, которой является внешняя граница стены многоквартирного дома. Если инженерные системы многоквартирного дома, входящие в состав общего имущества, находятся за внешней границей стены многоквартирного дома – в месте присоединения общедомовых сетей к централизованным сетям инженерно-технического обеспечения.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К внутридомовым инженерным системам относятся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теплоснабжения и (или) горячего водоснабжения).</w:t>
      </w:r>
    </w:p>
    <w:p>
      <w:pPr>
        <w:pStyle w:val="ConsPlusNonformat"/>
        <w:widowControl w:val="false"/>
        <w:bidi w:val="0"/>
        <w:ind w:left="0" w:right="0" w:firstLine="68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В многоквартирных домах, электроснабжение которых осуществляется без использования общего имущества, граница эксплуатационной ответственности сторон определяется на контактах присоединения к счетчикам проводки, подающей электроэнергию в помещения. 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ресурсоснабжающей организации пени в размере, установленном законодательством Российской Федерации.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Порядок разрешения споров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Действие, изменение и расторжение договора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вступает в силу в порядке и сроки, которые установлены законодательством Российской Федерации.</w:t>
      </w:r>
      <w:r>
        <w:rPr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Срок действия настоящего договора устанавливается с «___» ________ 20__ г. и действует по «___» ________ 20__ г. включительно. Договор считается ежегодно продленным на тех же условиях, если ни одна из сторон не заявила о его прекращении.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заключения договора электроснабжения до завершения процедуры технологического присоединения энергопринимающих устройств, в отношении которых заключается настоящий договор, исполнение обязательств ресурсоснабжающей организации по настоящему договору осуществляется - с даты подписания сетевой организацией и потребителем акта о технологическом присоединении соответствующих энергопринимающих устройств.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заключен в соответствии с положениями федеральных законов и иных нормативно-правовых актов Российской Федерации.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способами, предусмотренными пунктом 5 настоящего договора.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согласованию Сторон такие изменения могут быть оформлены дополнительными соглашениями к настоящему договору, подписываемыми Сторонами или уполномоченными представителями Сторон.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Обработка персональных данных потребителя, за исключением указанных в пункте 6 Правил предоставления коммунальных услуг, осуществляется ресурсоснабжающей организацией в соответствии с Федеральным </w:t>
      </w:r>
      <w:hyperlink r:id="rId4">
        <w:r>
          <w:rPr>
            <w:rStyle w:val="ListLabel13"/>
            <w:color w:val="000000"/>
            <w:highlight w:val="white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«О персональных данных».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данных) в соответствии с указанным Федеральным </w:t>
      </w:r>
      <w:hyperlink r:id="rId5">
        <w:r>
          <w:rPr>
            <w:rStyle w:val="ListLabel13"/>
            <w:color w:val="000000"/>
            <w:highlight w:val="white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Заключительные положения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вопросам, прямо не урегулированным настоящим договором, Стороны руководствуются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С момента оформления акты допуска в эксплуатацию прибора учета являются неотъемлемой частью настоящего договора. 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Сведения об иных пользователях жилого помещения в многоквартирном доме, указываются в Приложении № 1 к настоящему договору.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highlight w:val="white"/>
          <w:lang w:val="en-US"/>
        </w:rPr>
        <w:t>XI</w:t>
      </w:r>
      <w:r>
        <w:rPr>
          <w:b/>
          <w:bCs/>
          <w:color w:val="000000"/>
          <w:sz w:val="22"/>
          <w:szCs w:val="22"/>
          <w:highlight w:val="white"/>
        </w:rPr>
        <w:t>. Реквизиты и подписи «Сторон».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b/>
          <w:bCs/>
          <w:color w:val="000000"/>
          <w:sz w:val="22"/>
          <w:szCs w:val="22"/>
          <w:highlight w:val="white"/>
        </w:rPr>
        <w:t xml:space="preserve"> </w:t>
      </w:r>
    </w:p>
    <w:p>
      <w:pPr>
        <w:pStyle w:val="Normal"/>
        <w:rPr/>
      </w:pPr>
      <w:r>
        <w:rPr>
          <w:b/>
          <w:bCs/>
          <w:color w:val="000000"/>
          <w:sz w:val="22"/>
          <w:szCs w:val="22"/>
          <w:highlight w:val="white"/>
        </w:rPr>
        <w:t xml:space="preserve">       </w:t>
      </w:r>
      <w:r>
        <w:rPr>
          <w:b/>
          <w:bCs/>
          <w:color w:val="000000"/>
          <w:sz w:val="22"/>
          <w:szCs w:val="22"/>
          <w:highlight w:val="white"/>
        </w:rPr>
        <w:t xml:space="preserve">Ресурсоснабжающая организация                                                                     Потребитель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Normal"/>
        <w:rPr/>
      </w:pPr>
      <w:bookmarkStart w:id="3" w:name="_Hlk65222775"/>
      <w:r>
        <w:rPr>
          <w:b/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b/>
          <w:bCs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 xml:space="preserve">      </w:t>
      </w:r>
      <w:r>
        <w:rPr>
          <w:sz w:val="22"/>
          <w:szCs w:val="22"/>
          <w:highlight w:val="white"/>
        </w:rPr>
        <w:t xml:space="preserve">                            </w:t>
      </w:r>
      <w:bookmarkEnd w:id="3"/>
      <w:r>
        <w:rPr>
          <w:sz w:val="22"/>
          <w:szCs w:val="22"/>
          <w:highlight w:val="white"/>
        </w:rPr>
        <w:t>ФИО __________________________________</w:t>
      </w:r>
      <w:r>
        <w:rPr>
          <w:bCs/>
          <w:sz w:val="22"/>
          <w:szCs w:val="22"/>
          <w:highlight w:val="white"/>
        </w:rPr>
        <w:t xml:space="preserve">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357500, Российская Федерация, Ставропольский                     </w:t>
      </w:r>
      <w:r>
        <w:rPr>
          <w:sz w:val="22"/>
          <w:szCs w:val="22"/>
          <w:highlight w:val="white"/>
        </w:rPr>
        <w:t>паспорт  серия_______  номер______________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край, город Пятигорск, улица Дунаевского, 9.                          дата выдачи 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ИНН 2632021520, КПП 263201001,                                            </w:t>
      </w: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>адрес рег.:_______________________________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р/с 40702810260090100093 Ставропольское                             </w:t>
      </w:r>
      <w:r>
        <w:rPr>
          <w:bCs/>
          <w:sz w:val="22"/>
          <w:szCs w:val="22"/>
          <w:highlight w:val="white"/>
          <w:lang w:val="en-US"/>
        </w:rPr>
        <w:t>e</w:t>
      </w:r>
      <w:r>
        <w:rPr>
          <w:bCs/>
          <w:sz w:val="22"/>
          <w:szCs w:val="22"/>
          <w:highlight w:val="white"/>
        </w:rPr>
        <w:t>-</w:t>
      </w:r>
      <w:r>
        <w:rPr>
          <w:bCs/>
          <w:sz w:val="22"/>
          <w:szCs w:val="22"/>
          <w:highlight w:val="white"/>
          <w:lang w:val="en-US"/>
        </w:rPr>
        <w:t>mail</w:t>
      </w:r>
      <w:r>
        <w:rPr>
          <w:bCs/>
          <w:sz w:val="22"/>
          <w:szCs w:val="22"/>
          <w:highlight w:val="white"/>
        </w:rPr>
        <w:t>___________________________________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отделение № 5230 ПАО Сбербанк г. Ставрополь,                     телефон_________________________________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БИК 040702615, кор/счет 30101810907020000615,                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ОГРН 1022601611780.                      </w:t>
      </w:r>
      <w:r>
        <w:rPr>
          <w:sz w:val="22"/>
          <w:szCs w:val="22"/>
          <w:highlight w:val="whit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/>
      </w:r>
    </w:p>
    <w:p>
      <w:pPr>
        <w:pStyle w:val="Normal"/>
        <w:rPr/>
      </w:pPr>
      <w:r>
        <w:rPr>
          <w:sz w:val="22"/>
          <w:szCs w:val="22"/>
          <w:highlight w:val="white"/>
        </w:rPr>
        <w:t>Г</w:t>
      </w:r>
      <w:bookmarkStart w:id="4" w:name="_Hlk65222633"/>
      <w:r>
        <w:rPr>
          <w:sz w:val="22"/>
          <w:szCs w:val="22"/>
          <w:highlight w:val="white"/>
        </w:rPr>
        <w:t>енерал</w:t>
      </w:r>
      <w:r>
        <w:rPr>
          <w:sz w:val="22"/>
          <w:szCs w:val="22"/>
          <w:highlight w:val="white"/>
        </w:rPr>
        <w:t>ьный</w:t>
      </w:r>
      <w:r>
        <w:rPr>
          <w:sz w:val="22"/>
          <w:szCs w:val="22"/>
          <w:highlight w:val="white"/>
        </w:rPr>
        <w:t xml:space="preserve"> директор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                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</w:t>
      </w:r>
      <w:r>
        <w:rPr>
          <w:sz w:val="22"/>
          <w:szCs w:val="22"/>
          <w:highlight w:val="white"/>
        </w:rPr>
        <w:t xml:space="preserve">_________________________ В. И. Писаренко                 __________________________________________  </w:t>
      </w:r>
      <w:bookmarkEnd w:id="4"/>
      <w:r>
        <w:rPr>
          <w:sz w:val="22"/>
          <w:szCs w:val="22"/>
          <w:highlight w:val="white"/>
        </w:rPr>
        <w:t xml:space="preserve">                                                                 </w:t>
      </w:r>
    </w:p>
    <w:p>
      <w:pPr>
        <w:pStyle w:val="Normal"/>
        <w:rPr>
          <w:b/>
          <w:b/>
          <w:bCs/>
          <w:color w:val="000000"/>
          <w:sz w:val="22"/>
          <w:szCs w:val="22"/>
          <w:highlight w:val="white"/>
        </w:rPr>
      </w:pPr>
      <w:r>
        <w:rPr>
          <w:b/>
          <w:bCs/>
          <w:sz w:val="22"/>
          <w:szCs w:val="22"/>
          <w:highlight w:val="white"/>
          <w:u w:val="singl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</w:tcPr>
          <w:p>
            <w:pPr>
              <w:pStyle w:val="Normal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pStyle w:val="4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4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C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>Приложение № 1</w:t>
            </w:r>
          </w:p>
          <w:p>
            <w:pPr>
              <w:pStyle w:val="Normal"/>
              <w:suppressAutoHyphens w:val="true"/>
              <w:ind w:right="-16" w:hanging="0"/>
              <w:jc w:val="right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 договору электроснабжения  от «___» ____________ 20__ г.  № </w:t>
            </w:r>
            <w:r>
              <w:rPr>
                <w:color w:val="000000"/>
                <w:sz w:val="22"/>
                <w:szCs w:val="22"/>
                <w:highlight w:val="white"/>
                <w:u w:val="single"/>
              </w:rPr>
              <w:t>_______</w:t>
            </w:r>
          </w:p>
        </w:tc>
      </w:tr>
    </w:tbl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b/>
          <w:b/>
          <w:color w:val="FF0000"/>
        </w:rPr>
      </w:pPr>
      <w:r>
        <w:rPr>
          <w:b/>
          <w:color w:val="000000"/>
          <w:highlight w:val="white"/>
        </w:rPr>
        <w:t>Форма</w:t>
      </w:r>
    </w:p>
    <w:p>
      <w:pPr>
        <w:pStyle w:val="Normal"/>
        <w:jc w:val="center"/>
        <w:rPr>
          <w:b/>
          <w:b/>
          <w:color w:val="C00000"/>
        </w:rPr>
      </w:pPr>
      <w:r>
        <w:rPr>
          <w:b/>
          <w:color w:val="000000"/>
          <w:highlight w:val="white"/>
        </w:rPr>
        <w:t>Сведения об иных собственниках и пользователях жилого помещения в многоквартирном доме</w:t>
      </w:r>
    </w:p>
    <w:p>
      <w:pPr>
        <w:pStyle w:val="Normal"/>
        <w:jc w:val="center"/>
        <w:rPr>
          <w:b/>
          <w:b/>
          <w:color w:val="000000"/>
          <w:highlight w:val="white"/>
        </w:rPr>
      </w:pPr>
      <w:r>
        <w:rPr>
          <w:b/>
          <w:color w:val="000000"/>
          <w:highlight w:val="white"/>
        </w:rPr>
      </w:r>
    </w:p>
    <w:tbl>
      <w:tblPr>
        <w:tblW w:w="10890" w:type="dxa"/>
        <w:jc w:val="lef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0"/>
        <w:gridCol w:w="8673"/>
        <w:gridCol w:w="915"/>
        <w:gridCol w:w="791"/>
      </w:tblGrid>
      <w:tr>
        <w:trPr>
          <w:trHeight w:val="345" w:hRule="atLeast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п/п</w:t>
            </w:r>
          </w:p>
        </w:tc>
        <w:tc>
          <w:tcPr>
            <w:tcW w:w="8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Сведения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Статус</w:t>
            </w:r>
          </w:p>
        </w:tc>
      </w:tr>
      <w:tr>
        <w:trPr>
          <w:trHeight w:val="936" w:hRule="atLeast"/>
        </w:trPr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-246" w:firstLine="246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</w:p>
        </w:tc>
        <w:tc>
          <w:tcPr>
            <w:tcW w:w="8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-246" w:firstLine="246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соб-ствен</w:t>
              <w:softHyphen/>
              <w:t>ни</w:t>
              <w:softHyphen/>
              <w:t>к/ доля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прожи-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вает ч.</w:t>
            </w:r>
          </w:p>
        </w:tc>
      </w:tr>
      <w:tr>
        <w:trPr>
          <w:trHeight w:val="184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  <w:tr>
        <w:trPr>
          <w:trHeight w:val="1857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  <w:tr>
        <w:trPr>
          <w:trHeight w:val="184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3.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</w:tbl>
    <w:p>
      <w:pPr>
        <w:pStyle w:val="Normal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color w:val="C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>ПОДПИСИ СТОРОН</w:t>
      </w:r>
    </w:p>
    <w:p>
      <w:pPr>
        <w:pStyle w:val="Normal"/>
        <w:jc w:val="center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03"/>
        <w:gridCol w:w="5101"/>
      </w:tblGrid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jc w:val="center"/>
              <w:rPr>
                <w:b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</w:r>
          </w:p>
        </w:tc>
      </w:tr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C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Ресурсоснабжающая организация</w:t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C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         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>Потребитель</w:t>
            </w:r>
          </w:p>
        </w:tc>
      </w:tr>
    </w:tbl>
    <w:p>
      <w:pPr>
        <w:pStyle w:val="ConsPlusNormal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    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             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Normal"/>
        <w:rPr/>
      </w:pPr>
      <w:r>
        <w:rPr>
          <w:color w:val="000000"/>
          <w:sz w:val="22"/>
          <w:szCs w:val="22"/>
          <w:highlight w:val="white"/>
        </w:rPr>
        <w:t xml:space="preserve">  </w:t>
      </w:r>
      <w:r>
        <w:rPr>
          <w:color w:val="000000"/>
          <w:sz w:val="22"/>
          <w:szCs w:val="22"/>
          <w:highlight w:val="white"/>
        </w:rPr>
        <w:t>Г</w:t>
      </w:r>
      <w:r>
        <w:rPr>
          <w:color w:val="000000"/>
          <w:sz w:val="22"/>
          <w:szCs w:val="22"/>
          <w:highlight w:val="white"/>
        </w:rPr>
        <w:t>енеральн</w:t>
      </w:r>
      <w:r>
        <w:rPr>
          <w:color w:val="000000"/>
          <w:sz w:val="22"/>
          <w:szCs w:val="22"/>
          <w:highlight w:val="white"/>
        </w:rPr>
        <w:t>ый</w:t>
      </w:r>
      <w:r>
        <w:rPr>
          <w:color w:val="000000"/>
          <w:sz w:val="22"/>
          <w:szCs w:val="22"/>
          <w:highlight w:val="white"/>
        </w:rPr>
        <w:t xml:space="preserve"> директор      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                  </w:t>
      </w:r>
    </w:p>
    <w:p>
      <w:pPr>
        <w:pStyle w:val="Normal"/>
        <w:rPr/>
      </w:pPr>
      <w:r>
        <w:rPr>
          <w:color w:val="000000"/>
          <w:sz w:val="22"/>
          <w:szCs w:val="22"/>
          <w:highlight w:val="white"/>
        </w:rPr>
        <w:t xml:space="preserve">  </w:t>
      </w:r>
      <w:r>
        <w:rPr>
          <w:color w:val="000000"/>
          <w:sz w:val="22"/>
          <w:szCs w:val="22"/>
          <w:highlight w:val="white"/>
        </w:rPr>
        <w:t>___________________В. И. Писаренко                         _____________________________________________</w:t>
      </w:r>
    </w:p>
    <w:sectPr>
      <w:headerReference w:type="default" r:id="rId6"/>
      <w:headerReference w:type="first" r:id="rId7"/>
      <w:type w:val="nextPage"/>
      <w:pgSz w:w="11906" w:h="16838"/>
      <w:pgMar w:left="1134" w:right="567" w:header="709" w:top="766" w:footer="0" w:bottom="567" w:gutter="0"/>
      <w:pgNumType w:fmt="decimal"/>
      <w:formProt w:val="false"/>
      <w:titlePg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  <w:t>Для жилых помещений в МКД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space"/>
      <w:lvlText w:val=""/>
      <w:lvlJc w:val="left"/>
      <w:pPr>
        <w:ind w:left="0" w:hanging="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9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1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5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7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13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upperRoman"/>
      <w:suff w:val="space"/>
      <w:lvlText w:val="%1."/>
      <w:lvlJc w:val="right"/>
      <w:pPr>
        <w:ind w:left="0" w:hanging="0"/>
      </w:pPr>
      <w:rPr>
        <w:sz w:val="22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suff w:val="space"/>
      <w:lvlText w:val="%1."/>
      <w:lvlJc w:val="left"/>
      <w:pPr>
        <w:ind w:left="0" w:hanging="-709"/>
      </w:pPr>
      <w:rPr>
        <w:sz w:val="22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suff w:val="space"/>
      <w:lvlText w:val="%1)"/>
      <w:lvlJc w:val="left"/>
      <w:pPr>
        <w:ind w:left="0" w:hanging="-709"/>
      </w:pPr>
      <w:rPr>
        <w:sz w:val="22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0493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3d0f1b"/>
    <w:pPr>
      <w:keepNext w:val="true"/>
      <w:jc w:val="center"/>
      <w:outlineLvl w:val="0"/>
    </w:pPr>
    <w:rPr>
      <w:b/>
      <w:sz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15a7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3d0f1b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3d0f1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15a7a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515a7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244df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Интернет-ссылка"/>
    <w:basedOn w:val="DefaultParagraphFont"/>
    <w:uiPriority w:val="99"/>
    <w:unhideWhenUsed/>
    <w:rsid w:val="00592f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92fe5"/>
    <w:rPr>
      <w:color w:val="605E5C"/>
      <w:shd w:fill="E1DFDD" w:val="clear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e44c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55036e"/>
    <w:rPr>
      <w:rFonts w:ascii="Segoe UI" w:hAnsi="Segoe UI" w:eastAsia="Times New Roman" w:cs="Segoe UI"/>
      <w:sz w:val="18"/>
      <w:szCs w:val="18"/>
      <w:lang w:eastAsia="ru-RU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ascii="Times New Roman" w:hAnsi="Times New Roman"/>
      <w:b/>
    </w:rPr>
  </w:style>
  <w:style w:type="character" w:styleId="ListLabel8" w:customStyle="1">
    <w:name w:val="ListLabel 8"/>
    <w:qFormat/>
    <w:rPr>
      <w:rFonts w:ascii="Times New Roman" w:hAnsi="Times New Roman"/>
      <w:color w:val="000000"/>
      <w:sz w:val="22"/>
    </w:rPr>
  </w:style>
  <w:style w:type="character" w:styleId="ListLabel9" w:customStyle="1">
    <w:name w:val="ListLabel 9"/>
    <w:qFormat/>
    <w:rPr>
      <w:rFonts w:ascii="Times New Roman" w:hAnsi="Times New Roman"/>
      <w:color w:val="000000"/>
    </w:rPr>
  </w:style>
  <w:style w:type="character" w:styleId="ListLabel10" w:customStyle="1">
    <w:name w:val="ListLabel 10"/>
    <w:qFormat/>
    <w:rPr>
      <w:bCs/>
      <w:color w:val="C00000"/>
      <w:sz w:val="22"/>
      <w:szCs w:val="22"/>
      <w:lang w:val="en-US" w:eastAsia="en-US"/>
    </w:rPr>
  </w:style>
  <w:style w:type="character" w:styleId="ListLabel11" w:customStyle="1">
    <w:name w:val="ListLabel 11"/>
    <w:qFormat/>
    <w:rPr>
      <w:bCs/>
      <w:color w:val="C00000"/>
      <w:sz w:val="22"/>
      <w:szCs w:val="22"/>
      <w:lang w:eastAsia="en-US"/>
    </w:rPr>
  </w:style>
  <w:style w:type="character" w:styleId="ListLabel12" w:customStyle="1">
    <w:name w:val="ListLabel 12"/>
    <w:qFormat/>
    <w:rPr>
      <w:color w:val="FF0000"/>
      <w:sz w:val="22"/>
      <w:szCs w:val="22"/>
      <w:u w:val="single"/>
    </w:rPr>
  </w:style>
  <w:style w:type="character" w:styleId="ListLabel13" w:customStyle="1">
    <w:name w:val="ListLabel 13"/>
    <w:qFormat/>
    <w:rPr>
      <w:rFonts w:ascii="Times New Roman" w:hAnsi="Times New Roman" w:cs="Times New Roman"/>
      <w:sz w:val="22"/>
      <w:szCs w:val="22"/>
    </w:rPr>
  </w:style>
  <w:style w:type="character" w:styleId="ListLabel14" w:customStyle="1">
    <w:name w:val="ListLabel 14"/>
    <w:qFormat/>
    <w:rPr>
      <w:rFonts w:cs="Symbol"/>
      <w:b/>
      <w:sz w:val="22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Symbol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rFonts w:ascii="Times New Roman" w:hAnsi="Times New Roman"/>
      <w:b/>
    </w:rPr>
  </w:style>
  <w:style w:type="character" w:styleId="ListLabel33" w:customStyle="1">
    <w:name w:val="ListLabel 33"/>
    <w:qFormat/>
    <w:rPr>
      <w:rFonts w:ascii="Times New Roman" w:hAnsi="Times New Roman"/>
      <w:color w:val="000000"/>
      <w:sz w:val="22"/>
    </w:rPr>
  </w:style>
  <w:style w:type="character" w:styleId="ListLabel34" w:customStyle="1">
    <w:name w:val="ListLabel 34"/>
    <w:qFormat/>
    <w:rPr>
      <w:rFonts w:ascii="Times New Roman" w:hAnsi="Times New Roman"/>
      <w:color w:val="000000"/>
    </w:rPr>
  </w:style>
  <w:style w:type="character" w:styleId="ListLabel35" w:customStyle="1">
    <w:name w:val="ListLabel 35"/>
    <w:qFormat/>
    <w:rPr>
      <w:bCs/>
      <w:color w:val="C00000"/>
      <w:sz w:val="22"/>
      <w:szCs w:val="22"/>
      <w:lang w:val="en-US" w:eastAsia="en-US"/>
    </w:rPr>
  </w:style>
  <w:style w:type="character" w:styleId="ListLabel36" w:customStyle="1">
    <w:name w:val="ListLabel 36"/>
    <w:qFormat/>
    <w:rPr>
      <w:bCs/>
      <w:color w:val="C00000"/>
      <w:sz w:val="22"/>
      <w:szCs w:val="22"/>
      <w:lang w:eastAsia="en-US"/>
    </w:rPr>
  </w:style>
  <w:style w:type="character" w:styleId="ListLabel37" w:customStyle="1">
    <w:name w:val="ListLabel 37"/>
    <w:qFormat/>
    <w:rPr>
      <w:color w:val="FF0000"/>
      <w:sz w:val="22"/>
      <w:szCs w:val="22"/>
      <w:u w:val="single"/>
    </w:rPr>
  </w:style>
  <w:style w:type="character" w:styleId="ListLabel38" w:customStyle="1">
    <w:name w:val="ListLabel 38"/>
    <w:qFormat/>
    <w:rPr>
      <w:rFonts w:ascii="Times New Roman" w:hAnsi="Times New Roman" w:cs="Times New Roman"/>
      <w:sz w:val="22"/>
      <w:szCs w:val="22"/>
    </w:rPr>
  </w:style>
  <w:style w:type="character" w:styleId="ListLabel39" w:customStyle="1">
    <w:name w:val="ListLabel 39"/>
    <w:qFormat/>
    <w:rPr>
      <w:rFonts w:cs="Symbol"/>
      <w:b/>
      <w:sz w:val="22"/>
    </w:rPr>
  </w:style>
  <w:style w:type="character" w:styleId="ListLabel40" w:customStyle="1">
    <w:name w:val="ListLabel 40"/>
    <w:qFormat/>
    <w:rPr>
      <w:rFonts w:cs="Courier New"/>
    </w:rPr>
  </w:style>
  <w:style w:type="character" w:styleId="ListLabel41" w:customStyle="1">
    <w:name w:val="ListLabel 41"/>
    <w:qFormat/>
    <w:rPr>
      <w:rFonts w:cs="Wingdings"/>
    </w:rPr>
  </w:style>
  <w:style w:type="character" w:styleId="ListLabel42" w:customStyle="1">
    <w:name w:val="ListLabel 42"/>
    <w:qFormat/>
    <w:rPr>
      <w:rFonts w:cs="Symbol"/>
    </w:rPr>
  </w:style>
  <w:style w:type="character" w:styleId="ListLabel43" w:customStyle="1">
    <w:name w:val="ListLabel 43"/>
    <w:qFormat/>
    <w:rPr>
      <w:rFonts w:cs="Courier New"/>
    </w:rPr>
  </w:style>
  <w:style w:type="character" w:styleId="ListLabel44" w:customStyle="1">
    <w:name w:val="ListLabel 44"/>
    <w:qFormat/>
    <w:rPr>
      <w:rFonts w:cs="Wingdings"/>
    </w:rPr>
  </w:style>
  <w:style w:type="character" w:styleId="ListLabel45" w:customStyle="1">
    <w:name w:val="ListLabel 45"/>
    <w:qFormat/>
    <w:rPr>
      <w:rFonts w:cs="Symbol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Wingdings"/>
    </w:rPr>
  </w:style>
  <w:style w:type="character" w:styleId="ListLabel48" w:customStyle="1">
    <w:name w:val="ListLabel 48"/>
    <w:qFormat/>
    <w:rPr>
      <w:rFonts w:ascii="Times New Roman" w:hAnsi="Times New Roman" w:cs="Symbol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Wingdings"/>
    </w:rPr>
  </w:style>
  <w:style w:type="character" w:styleId="ListLabel51" w:customStyle="1">
    <w:name w:val="ListLabel 51"/>
    <w:qFormat/>
    <w:rPr>
      <w:rFonts w:cs="Symbol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cs="Wingdings"/>
    </w:rPr>
  </w:style>
  <w:style w:type="character" w:styleId="ListLabel54" w:customStyle="1">
    <w:name w:val="ListLabel 54"/>
    <w:qFormat/>
    <w:rPr>
      <w:rFonts w:cs="Symbol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Wingdings"/>
    </w:rPr>
  </w:style>
  <w:style w:type="character" w:styleId="ListLabel57" w:customStyle="1">
    <w:name w:val="ListLabel 57"/>
    <w:qFormat/>
    <w:rPr>
      <w:rFonts w:ascii="Times New Roman" w:hAnsi="Times New Roman"/>
      <w:b/>
    </w:rPr>
  </w:style>
  <w:style w:type="character" w:styleId="ListLabel58" w:customStyle="1">
    <w:name w:val="ListLabel 58"/>
    <w:qFormat/>
    <w:rPr>
      <w:rFonts w:ascii="Times New Roman" w:hAnsi="Times New Roman"/>
      <w:color w:val="000000"/>
      <w:sz w:val="22"/>
    </w:rPr>
  </w:style>
  <w:style w:type="character" w:styleId="ListLabel59" w:customStyle="1">
    <w:name w:val="ListLabel 59"/>
    <w:qFormat/>
    <w:rPr>
      <w:rFonts w:ascii="Times New Roman" w:hAnsi="Times New Roman"/>
      <w:color w:val="000000"/>
    </w:rPr>
  </w:style>
  <w:style w:type="character" w:styleId="ListLabel60" w:customStyle="1">
    <w:name w:val="ListLabel 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61" w:customStyle="1">
    <w:name w:val="ListLabel 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62" w:customStyle="1">
    <w:name w:val="ListLabel 62"/>
    <w:qFormat/>
    <w:rPr>
      <w:color w:val="000000"/>
      <w:highlight w:val="white"/>
    </w:rPr>
  </w:style>
  <w:style w:type="character" w:styleId="ListLabel63" w:customStyle="1">
    <w:name w:val="ListLabel 63"/>
    <w:qFormat/>
    <w:rPr>
      <w:color w:val="000000"/>
      <w:highlight w:val="white"/>
    </w:rPr>
  </w:style>
  <w:style w:type="character" w:styleId="ListLabel64" w:customStyle="1">
    <w:name w:val="ListLabel 64"/>
    <w:qFormat/>
    <w:rPr>
      <w:rFonts w:cs="Symbol"/>
      <w:b/>
      <w:sz w:val="22"/>
    </w:rPr>
  </w:style>
  <w:style w:type="character" w:styleId="ListLabel65" w:customStyle="1">
    <w:name w:val="ListLabel 65"/>
    <w:qFormat/>
    <w:rPr>
      <w:rFonts w:cs="Courier New"/>
    </w:rPr>
  </w:style>
  <w:style w:type="character" w:styleId="ListLabel66" w:customStyle="1">
    <w:name w:val="ListLabel 66"/>
    <w:qFormat/>
    <w:rPr>
      <w:rFonts w:cs="Wingdings"/>
    </w:rPr>
  </w:style>
  <w:style w:type="character" w:styleId="ListLabel67" w:customStyle="1">
    <w:name w:val="ListLabel 67"/>
    <w:qFormat/>
    <w:rPr>
      <w:rFonts w:cs="Symbol"/>
    </w:rPr>
  </w:style>
  <w:style w:type="character" w:styleId="ListLabel68" w:customStyle="1">
    <w:name w:val="ListLabel 68"/>
    <w:qFormat/>
    <w:rPr>
      <w:rFonts w:cs="Courier New"/>
    </w:rPr>
  </w:style>
  <w:style w:type="character" w:styleId="ListLabel69" w:customStyle="1">
    <w:name w:val="ListLabel 69"/>
    <w:qFormat/>
    <w:rPr>
      <w:rFonts w:cs="Wingdings"/>
    </w:rPr>
  </w:style>
  <w:style w:type="character" w:styleId="ListLabel70" w:customStyle="1">
    <w:name w:val="ListLabel 70"/>
    <w:qFormat/>
    <w:rPr>
      <w:rFonts w:cs="Symbol"/>
    </w:rPr>
  </w:style>
  <w:style w:type="character" w:styleId="ListLabel71" w:customStyle="1">
    <w:name w:val="ListLabel 71"/>
    <w:qFormat/>
    <w:rPr>
      <w:rFonts w:cs="Courier New"/>
    </w:rPr>
  </w:style>
  <w:style w:type="character" w:styleId="ListLabel72" w:customStyle="1">
    <w:name w:val="ListLabel 72"/>
    <w:qFormat/>
    <w:rPr>
      <w:rFonts w:cs="Wingdings"/>
    </w:rPr>
  </w:style>
  <w:style w:type="character" w:styleId="ListLabel73" w:customStyle="1">
    <w:name w:val="ListLabel 73"/>
    <w:qFormat/>
    <w:rPr>
      <w:rFonts w:ascii="Times New Roman" w:hAnsi="Times New Roman" w:cs="Symbol"/>
      <w:sz w:val="22"/>
    </w:rPr>
  </w:style>
  <w:style w:type="character" w:styleId="ListLabel74" w:customStyle="1">
    <w:name w:val="ListLabel 74"/>
    <w:qFormat/>
    <w:rPr>
      <w:rFonts w:cs="Courier New"/>
    </w:rPr>
  </w:style>
  <w:style w:type="character" w:styleId="ListLabel75" w:customStyle="1">
    <w:name w:val="ListLabel 75"/>
    <w:qFormat/>
    <w:rPr>
      <w:rFonts w:cs="Wingdings"/>
    </w:rPr>
  </w:style>
  <w:style w:type="character" w:styleId="ListLabel76" w:customStyle="1">
    <w:name w:val="ListLabel 76"/>
    <w:qFormat/>
    <w:rPr>
      <w:rFonts w:cs="Symbol"/>
    </w:rPr>
  </w:style>
  <w:style w:type="character" w:styleId="ListLabel77" w:customStyle="1">
    <w:name w:val="ListLabel 77"/>
    <w:qFormat/>
    <w:rPr>
      <w:rFonts w:cs="Courier New"/>
    </w:rPr>
  </w:style>
  <w:style w:type="character" w:styleId="ListLabel78" w:customStyle="1">
    <w:name w:val="ListLabel 78"/>
    <w:qFormat/>
    <w:rPr>
      <w:rFonts w:cs="Wingdings"/>
    </w:rPr>
  </w:style>
  <w:style w:type="character" w:styleId="ListLabel79" w:customStyle="1">
    <w:name w:val="ListLabel 79"/>
    <w:qFormat/>
    <w:rPr>
      <w:rFonts w:cs="Symbol"/>
    </w:rPr>
  </w:style>
  <w:style w:type="character" w:styleId="ListLabel80" w:customStyle="1">
    <w:name w:val="ListLabel 80"/>
    <w:qFormat/>
    <w:rPr>
      <w:rFonts w:cs="Courier New"/>
    </w:rPr>
  </w:style>
  <w:style w:type="character" w:styleId="ListLabel81" w:customStyle="1">
    <w:name w:val="ListLabel 81"/>
    <w:qFormat/>
    <w:rPr>
      <w:rFonts w:cs="Wingdings"/>
    </w:rPr>
  </w:style>
  <w:style w:type="character" w:styleId="ListLabel82" w:customStyle="1">
    <w:name w:val="ListLabel 82"/>
    <w:qFormat/>
    <w:rPr>
      <w:rFonts w:ascii="Times New Roman" w:hAnsi="Times New Roman"/>
      <w:b/>
      <w:sz w:val="22"/>
    </w:rPr>
  </w:style>
  <w:style w:type="character" w:styleId="ListLabel83" w:customStyle="1">
    <w:name w:val="ListLabel 83"/>
    <w:qFormat/>
    <w:rPr>
      <w:rFonts w:ascii="Times New Roman" w:hAnsi="Times New Roman"/>
      <w:color w:val="000000"/>
      <w:sz w:val="22"/>
    </w:rPr>
  </w:style>
  <w:style w:type="character" w:styleId="ListLabel84" w:customStyle="1">
    <w:name w:val="ListLabel 84"/>
    <w:qFormat/>
    <w:rPr>
      <w:rFonts w:ascii="Times New Roman" w:hAnsi="Times New Roman"/>
      <w:color w:val="000000"/>
      <w:sz w:val="22"/>
    </w:rPr>
  </w:style>
  <w:style w:type="character" w:styleId="ListLabel85" w:customStyle="1">
    <w:name w:val="ListLabel 8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86" w:customStyle="1">
    <w:name w:val="ListLabel 86"/>
    <w:qFormat/>
    <w:rPr>
      <w:bCs/>
      <w:color w:val="000000"/>
      <w:sz w:val="22"/>
      <w:szCs w:val="22"/>
      <w:highlight w:val="white"/>
      <w:lang w:eastAsia="en-US"/>
    </w:rPr>
  </w:style>
  <w:style w:type="character" w:styleId="ListLabel87" w:customStyle="1">
    <w:name w:val="ListLabel 87"/>
    <w:qFormat/>
    <w:rPr>
      <w:color w:val="000000"/>
      <w:highlight w:val="white"/>
    </w:rPr>
  </w:style>
  <w:style w:type="character" w:styleId="ListLabel88" w:customStyle="1">
    <w:name w:val="ListLabel 88"/>
    <w:qFormat/>
    <w:rPr>
      <w:color w:val="000000"/>
      <w:highlight w:val="white"/>
    </w:rPr>
  </w:style>
  <w:style w:type="character" w:styleId="ListLabel89" w:customStyle="1">
    <w:name w:val="ListLabel 89"/>
    <w:qFormat/>
    <w:rPr>
      <w:rFonts w:cs="Symbol"/>
      <w:b/>
      <w:sz w:val="22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Wingdings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Courier New"/>
    </w:rPr>
  </w:style>
  <w:style w:type="character" w:styleId="ListLabel94" w:customStyle="1">
    <w:name w:val="ListLabel 94"/>
    <w:qFormat/>
    <w:rPr>
      <w:rFonts w:cs="Wingdings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Courier New"/>
    </w:rPr>
  </w:style>
  <w:style w:type="character" w:styleId="ListLabel97" w:customStyle="1">
    <w:name w:val="ListLabel 97"/>
    <w:qFormat/>
    <w:rPr>
      <w:rFonts w:cs="Wingdings"/>
    </w:rPr>
  </w:style>
  <w:style w:type="character" w:styleId="ListLabel98" w:customStyle="1">
    <w:name w:val="ListLabel 98"/>
    <w:qFormat/>
    <w:rPr>
      <w:rFonts w:ascii="Times New Roman" w:hAnsi="Times New Roman" w:cs="Symbol"/>
      <w:sz w:val="22"/>
    </w:rPr>
  </w:style>
  <w:style w:type="character" w:styleId="ListLabel99" w:customStyle="1">
    <w:name w:val="ListLabel 99"/>
    <w:qFormat/>
    <w:rPr>
      <w:rFonts w:cs="Courier New"/>
    </w:rPr>
  </w:style>
  <w:style w:type="character" w:styleId="ListLabel100" w:customStyle="1">
    <w:name w:val="ListLabel 100"/>
    <w:qFormat/>
    <w:rPr>
      <w:rFonts w:cs="Wingdings"/>
    </w:rPr>
  </w:style>
  <w:style w:type="character" w:styleId="ListLabel101" w:customStyle="1">
    <w:name w:val="ListLabel 101"/>
    <w:qFormat/>
    <w:rPr>
      <w:rFonts w:cs="Symbol"/>
    </w:rPr>
  </w:style>
  <w:style w:type="character" w:styleId="ListLabel102" w:customStyle="1">
    <w:name w:val="ListLabel 102"/>
    <w:qFormat/>
    <w:rPr>
      <w:rFonts w:cs="Courier New"/>
    </w:rPr>
  </w:style>
  <w:style w:type="character" w:styleId="ListLabel103" w:customStyle="1">
    <w:name w:val="ListLabel 103"/>
    <w:qFormat/>
    <w:rPr>
      <w:rFonts w:cs="Wingdings"/>
    </w:rPr>
  </w:style>
  <w:style w:type="character" w:styleId="ListLabel104" w:customStyle="1">
    <w:name w:val="ListLabel 104"/>
    <w:qFormat/>
    <w:rPr>
      <w:rFonts w:cs="Symbol"/>
    </w:rPr>
  </w:style>
  <w:style w:type="character" w:styleId="ListLabel105" w:customStyle="1">
    <w:name w:val="ListLabel 105"/>
    <w:qFormat/>
    <w:rPr>
      <w:rFonts w:cs="Courier New"/>
    </w:rPr>
  </w:style>
  <w:style w:type="character" w:styleId="ListLabel106" w:customStyle="1">
    <w:name w:val="ListLabel 106"/>
    <w:qFormat/>
    <w:rPr>
      <w:rFonts w:cs="Wingdings"/>
    </w:rPr>
  </w:style>
  <w:style w:type="character" w:styleId="ListLabel107" w:customStyle="1">
    <w:name w:val="ListLabel 107"/>
    <w:qFormat/>
    <w:rPr>
      <w:rFonts w:ascii="Times New Roman" w:hAnsi="Times New Roman"/>
      <w:b/>
      <w:sz w:val="22"/>
    </w:rPr>
  </w:style>
  <w:style w:type="character" w:styleId="ListLabel108" w:customStyle="1">
    <w:name w:val="ListLabel 108"/>
    <w:qFormat/>
    <w:rPr>
      <w:rFonts w:ascii="Times New Roman" w:hAnsi="Times New Roman"/>
      <w:color w:val="000000"/>
      <w:sz w:val="22"/>
    </w:rPr>
  </w:style>
  <w:style w:type="character" w:styleId="ListLabel109" w:customStyle="1">
    <w:name w:val="ListLabel 109"/>
    <w:qFormat/>
    <w:rPr>
      <w:rFonts w:ascii="Times New Roman" w:hAnsi="Times New Roman"/>
      <w:color w:val="000000"/>
      <w:sz w:val="22"/>
    </w:rPr>
  </w:style>
  <w:style w:type="character" w:styleId="ListLabel110" w:customStyle="1">
    <w:name w:val="ListLabel 11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11" w:customStyle="1">
    <w:name w:val="ListLabel 111"/>
    <w:qFormat/>
    <w:rPr>
      <w:bCs/>
      <w:color w:val="000000"/>
      <w:sz w:val="22"/>
      <w:szCs w:val="22"/>
      <w:highlight w:val="white"/>
      <w:lang w:eastAsia="en-US"/>
    </w:rPr>
  </w:style>
  <w:style w:type="character" w:styleId="ListLabel112" w:customStyle="1">
    <w:name w:val="ListLabel 112"/>
    <w:qFormat/>
    <w:rPr>
      <w:color w:val="000000"/>
      <w:highlight w:val="white"/>
    </w:rPr>
  </w:style>
  <w:style w:type="character" w:styleId="ListLabel113" w:customStyle="1">
    <w:name w:val="ListLabel 113"/>
    <w:qFormat/>
    <w:rPr>
      <w:color w:val="000000"/>
      <w:highlight w:val="white"/>
    </w:rPr>
  </w:style>
  <w:style w:type="character" w:styleId="ListLabel114">
    <w:name w:val="ListLabel 114"/>
    <w:qFormat/>
    <w:rPr>
      <w:rFonts w:cs="Symbol"/>
      <w:b/>
      <w:sz w:val="22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Times New Roman" w:hAnsi="Times New Roman" w:cs="Symbol"/>
      <w:sz w:val="22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ListLabel132">
    <w:name w:val="ListLabel 132"/>
    <w:qFormat/>
    <w:rPr>
      <w:rFonts w:ascii="Times New Roman" w:hAnsi="Times New Roman"/>
      <w:b/>
      <w:sz w:val="22"/>
    </w:rPr>
  </w:style>
  <w:style w:type="character" w:styleId="ListLabel133">
    <w:name w:val="ListLabel 133"/>
    <w:qFormat/>
    <w:rPr>
      <w:rFonts w:ascii="Times New Roman" w:hAnsi="Times New Roman"/>
      <w:color w:val="000000"/>
      <w:sz w:val="22"/>
    </w:rPr>
  </w:style>
  <w:style w:type="character" w:styleId="ListLabel134">
    <w:name w:val="ListLabel 134"/>
    <w:qFormat/>
    <w:rPr>
      <w:rFonts w:ascii="Times New Roman" w:hAnsi="Times New Roman"/>
      <w:color w:val="000000"/>
      <w:sz w:val="22"/>
    </w:rPr>
  </w:style>
  <w:style w:type="character" w:styleId="ListLabel135">
    <w:name w:val="ListLabel 13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36">
    <w:name w:val="ListLabel 136"/>
    <w:qFormat/>
    <w:rPr>
      <w:bCs/>
      <w:color w:val="000000"/>
      <w:sz w:val="22"/>
      <w:szCs w:val="22"/>
      <w:highlight w:val="white"/>
      <w:lang w:eastAsia="en-US"/>
    </w:rPr>
  </w:style>
  <w:style w:type="character" w:styleId="ListLabel137">
    <w:name w:val="ListLabel 137"/>
    <w:qFormat/>
    <w:rPr>
      <w:color w:val="000000"/>
      <w:highlight w:val="white"/>
    </w:rPr>
  </w:style>
  <w:style w:type="character" w:styleId="ListLabel138">
    <w:name w:val="ListLabel 138"/>
    <w:qFormat/>
    <w:rPr>
      <w:color w:val="000000"/>
      <w:highlight w:val="white"/>
    </w:rPr>
  </w:style>
  <w:style w:type="character" w:styleId="ListLabel139">
    <w:name w:val="ListLabel 139"/>
    <w:qFormat/>
    <w:rPr>
      <w:rFonts w:cs="Symbol"/>
      <w:b/>
      <w:sz w:val="22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ascii="Times New Roman" w:hAnsi="Times New Roman" w:cs="Symbol"/>
      <w:sz w:val="22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Wingdings"/>
    </w:rPr>
  </w:style>
  <w:style w:type="character" w:styleId="ListLabel151">
    <w:name w:val="ListLabel 151"/>
    <w:qFormat/>
    <w:rPr>
      <w:rFonts w:cs="Symbol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Wingdings"/>
    </w:rPr>
  </w:style>
  <w:style w:type="character" w:styleId="ListLabel154">
    <w:name w:val="ListLabel 154"/>
    <w:qFormat/>
    <w:rPr>
      <w:rFonts w:cs="Symbol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ascii="Times New Roman" w:hAnsi="Times New Roman"/>
      <w:b/>
      <w:sz w:val="22"/>
    </w:rPr>
  </w:style>
  <w:style w:type="character" w:styleId="ListLabel158">
    <w:name w:val="ListLabel 158"/>
    <w:qFormat/>
    <w:rPr>
      <w:rFonts w:ascii="Times New Roman" w:hAnsi="Times New Roman"/>
      <w:color w:val="000000"/>
      <w:sz w:val="22"/>
    </w:rPr>
  </w:style>
  <w:style w:type="character" w:styleId="ListLabel159">
    <w:name w:val="ListLabel 159"/>
    <w:qFormat/>
    <w:rPr>
      <w:rFonts w:ascii="Times New Roman" w:hAnsi="Times New Roman"/>
      <w:color w:val="000000"/>
      <w:sz w:val="22"/>
    </w:rPr>
  </w:style>
  <w:style w:type="character" w:styleId="ListLabel160">
    <w:name w:val="ListLabel 1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61">
    <w:name w:val="ListLabel 1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162">
    <w:name w:val="ListLabel 162"/>
    <w:qFormat/>
    <w:rPr>
      <w:color w:val="000000"/>
      <w:highlight w:val="white"/>
    </w:rPr>
  </w:style>
  <w:style w:type="character" w:styleId="ListLabel163">
    <w:name w:val="ListLabel 163"/>
    <w:qFormat/>
    <w:rPr>
      <w:color w:val="000000"/>
      <w:highlight w:val="white"/>
    </w:rPr>
  </w:style>
  <w:style w:type="character" w:styleId="ListLabel164">
    <w:name w:val="ListLabel 164"/>
    <w:qFormat/>
    <w:rPr>
      <w:rFonts w:cs="Symbol"/>
      <w:b/>
      <w:sz w:val="22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cs="Symbol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ascii="Times New Roman" w:hAnsi="Times New Roman" w:cs="Symbol"/>
      <w:sz w:val="22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ascii="Times New Roman" w:hAnsi="Times New Roman"/>
      <w:b/>
      <w:sz w:val="22"/>
    </w:rPr>
  </w:style>
  <w:style w:type="character" w:styleId="ListLabel183">
    <w:name w:val="ListLabel 183"/>
    <w:qFormat/>
    <w:rPr>
      <w:rFonts w:ascii="Times New Roman" w:hAnsi="Times New Roman"/>
      <w:color w:val="000000"/>
      <w:sz w:val="22"/>
    </w:rPr>
  </w:style>
  <w:style w:type="character" w:styleId="ListLabel184">
    <w:name w:val="ListLabel 184"/>
    <w:qFormat/>
    <w:rPr>
      <w:rFonts w:ascii="Times New Roman" w:hAnsi="Times New Roman"/>
      <w:color w:val="000000"/>
      <w:sz w:val="22"/>
    </w:rPr>
  </w:style>
  <w:style w:type="character" w:styleId="ListLabel185">
    <w:name w:val="ListLabel 18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86">
    <w:name w:val="ListLabel 186"/>
    <w:qFormat/>
    <w:rPr>
      <w:bCs/>
      <w:color w:val="000000"/>
      <w:sz w:val="22"/>
      <w:szCs w:val="22"/>
      <w:highlight w:val="white"/>
      <w:lang w:eastAsia="en-US"/>
    </w:rPr>
  </w:style>
  <w:style w:type="character" w:styleId="ListLabel187">
    <w:name w:val="ListLabel 187"/>
    <w:qFormat/>
    <w:rPr>
      <w:color w:val="000000"/>
      <w:highlight w:val="white"/>
    </w:rPr>
  </w:style>
  <w:style w:type="character" w:styleId="ListLabel188">
    <w:name w:val="ListLabel 188"/>
    <w:qFormat/>
    <w:rPr>
      <w:color w:val="000000"/>
      <w:highlight w:val="white"/>
    </w:rPr>
  </w:style>
  <w:style w:type="character" w:styleId="ListLabel189">
    <w:name w:val="ListLabel 189"/>
    <w:qFormat/>
    <w:rPr>
      <w:rFonts w:cs="Symbol"/>
      <w:b/>
      <w:sz w:val="22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Symbol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Wingdings"/>
    </w:rPr>
  </w:style>
  <w:style w:type="character" w:styleId="ListLabel198">
    <w:name w:val="ListLabel 198"/>
    <w:qFormat/>
    <w:rPr>
      <w:rFonts w:ascii="Times New Roman" w:hAnsi="Times New Roman" w:cs="Symbol"/>
      <w:sz w:val="22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Wingdings"/>
    </w:rPr>
  </w:style>
  <w:style w:type="character" w:styleId="ListLabel201">
    <w:name w:val="ListLabel 201"/>
    <w:qFormat/>
    <w:rPr>
      <w:rFonts w:cs="Symbol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Wingdings"/>
    </w:rPr>
  </w:style>
  <w:style w:type="character" w:styleId="ListLabel204">
    <w:name w:val="ListLabel 204"/>
    <w:qFormat/>
    <w:rPr>
      <w:rFonts w:cs="Symbol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Wingdings"/>
    </w:rPr>
  </w:style>
  <w:style w:type="character" w:styleId="ListLabel207">
    <w:name w:val="ListLabel 207"/>
    <w:qFormat/>
    <w:rPr>
      <w:rFonts w:ascii="Times New Roman" w:hAnsi="Times New Roman"/>
      <w:b/>
      <w:sz w:val="22"/>
    </w:rPr>
  </w:style>
  <w:style w:type="character" w:styleId="ListLabel208">
    <w:name w:val="ListLabel 208"/>
    <w:qFormat/>
    <w:rPr>
      <w:rFonts w:ascii="Times New Roman" w:hAnsi="Times New Roman"/>
      <w:color w:val="000000"/>
      <w:sz w:val="22"/>
    </w:rPr>
  </w:style>
  <w:style w:type="character" w:styleId="ListLabel209">
    <w:name w:val="ListLabel 209"/>
    <w:qFormat/>
    <w:rPr>
      <w:rFonts w:ascii="Times New Roman" w:hAnsi="Times New Roman"/>
      <w:color w:val="000000"/>
      <w:sz w:val="22"/>
    </w:rPr>
  </w:style>
  <w:style w:type="character" w:styleId="ListLabel210">
    <w:name w:val="ListLabel 21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11">
    <w:name w:val="ListLabel 211"/>
    <w:qFormat/>
    <w:rPr>
      <w:bCs/>
      <w:color w:val="000000"/>
      <w:sz w:val="22"/>
      <w:szCs w:val="22"/>
      <w:highlight w:val="white"/>
      <w:lang w:eastAsia="en-US"/>
    </w:rPr>
  </w:style>
  <w:style w:type="character" w:styleId="ListLabel212">
    <w:name w:val="ListLabel 212"/>
    <w:qFormat/>
    <w:rPr>
      <w:color w:val="000000"/>
      <w:highlight w:val="white"/>
    </w:rPr>
  </w:style>
  <w:style w:type="character" w:styleId="ListLabel213">
    <w:name w:val="ListLabel 213"/>
    <w:qFormat/>
    <w:rPr>
      <w:color w:val="000000"/>
      <w:highlight w:val="white"/>
    </w:rPr>
  </w:style>
  <w:style w:type="character" w:styleId="ListLabel214">
    <w:name w:val="ListLabel 214"/>
    <w:qFormat/>
    <w:rPr>
      <w:rFonts w:cs="Symbol"/>
      <w:b/>
      <w:sz w:val="22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ascii="Times New Roman" w:hAnsi="Times New Roman" w:cs="Symbol"/>
      <w:sz w:val="22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ascii="Times New Roman" w:hAnsi="Times New Roman"/>
      <w:b/>
      <w:sz w:val="22"/>
    </w:rPr>
  </w:style>
  <w:style w:type="character" w:styleId="ListLabel233">
    <w:name w:val="ListLabel 233"/>
    <w:qFormat/>
    <w:rPr>
      <w:rFonts w:ascii="Times New Roman" w:hAnsi="Times New Roman"/>
      <w:color w:val="000000"/>
      <w:sz w:val="22"/>
    </w:rPr>
  </w:style>
  <w:style w:type="character" w:styleId="ListLabel234">
    <w:name w:val="ListLabel 234"/>
    <w:qFormat/>
    <w:rPr>
      <w:rFonts w:ascii="Times New Roman" w:hAnsi="Times New Roman"/>
      <w:color w:val="000000"/>
      <w:sz w:val="22"/>
    </w:rPr>
  </w:style>
  <w:style w:type="character" w:styleId="ListLabel235">
    <w:name w:val="ListLabel 23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36">
    <w:name w:val="ListLabel 236"/>
    <w:qFormat/>
    <w:rPr>
      <w:bCs/>
      <w:color w:val="000000"/>
      <w:sz w:val="22"/>
      <w:szCs w:val="22"/>
      <w:highlight w:val="white"/>
      <w:lang w:eastAsia="en-US"/>
    </w:rPr>
  </w:style>
  <w:style w:type="character" w:styleId="ListLabel237">
    <w:name w:val="ListLabel 237"/>
    <w:qFormat/>
    <w:rPr>
      <w:color w:val="000000"/>
      <w:highlight w:val="white"/>
    </w:rPr>
  </w:style>
  <w:style w:type="character" w:styleId="ListLabel238">
    <w:name w:val="ListLabel 238"/>
    <w:qFormat/>
    <w:rPr>
      <w:color w:val="000000"/>
      <w:highlight w:val="white"/>
    </w:rPr>
  </w:style>
  <w:style w:type="character" w:styleId="ListLabel239">
    <w:name w:val="ListLabel 239"/>
    <w:qFormat/>
    <w:rPr>
      <w:rFonts w:cs="Symbol"/>
      <w:b/>
      <w:sz w:val="22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ascii="Times New Roman" w:hAnsi="Times New Roman" w:cs="Symbol"/>
      <w:sz w:val="22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ascii="Times New Roman" w:hAnsi="Times New Roman"/>
      <w:b/>
      <w:sz w:val="22"/>
    </w:rPr>
  </w:style>
  <w:style w:type="character" w:styleId="ListLabel258">
    <w:name w:val="ListLabel 258"/>
    <w:qFormat/>
    <w:rPr>
      <w:rFonts w:ascii="Times New Roman" w:hAnsi="Times New Roman"/>
      <w:color w:val="000000"/>
      <w:sz w:val="22"/>
    </w:rPr>
  </w:style>
  <w:style w:type="character" w:styleId="ListLabel259">
    <w:name w:val="ListLabel 259"/>
    <w:qFormat/>
    <w:rPr>
      <w:rFonts w:ascii="Times New Roman" w:hAnsi="Times New Roman"/>
      <w:color w:val="000000"/>
      <w:sz w:val="22"/>
    </w:rPr>
  </w:style>
  <w:style w:type="character" w:styleId="ListLabel260">
    <w:name w:val="ListLabel 2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61">
    <w:name w:val="ListLabel 2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262">
    <w:name w:val="ListLabel 262"/>
    <w:qFormat/>
    <w:rPr>
      <w:color w:val="000000"/>
      <w:highlight w:val="white"/>
    </w:rPr>
  </w:style>
  <w:style w:type="character" w:styleId="ListLabel263">
    <w:name w:val="ListLabel 263"/>
    <w:qFormat/>
    <w:rPr>
      <w:color w:val="000000"/>
      <w:highlight w:val="white"/>
    </w:rPr>
  </w:style>
  <w:style w:type="character" w:styleId="ListLabel264">
    <w:name w:val="ListLabel 264"/>
    <w:qFormat/>
    <w:rPr>
      <w:rFonts w:cs="Symbol"/>
      <w:b/>
      <w:sz w:val="22"/>
    </w:rPr>
  </w:style>
  <w:style w:type="character" w:styleId="ListLabel265">
    <w:name w:val="ListLabel 265"/>
    <w:qFormat/>
    <w:rPr>
      <w:rFonts w:cs="Courier New"/>
    </w:rPr>
  </w:style>
  <w:style w:type="character" w:styleId="ListLabel266">
    <w:name w:val="ListLabel 266"/>
    <w:qFormat/>
    <w:rPr>
      <w:rFonts w:cs="Wingdings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ascii="Times New Roman" w:hAnsi="Times New Roman" w:cs="Symbol"/>
      <w:sz w:val="22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ascii="Times New Roman" w:hAnsi="Times New Roman"/>
      <w:b/>
      <w:sz w:val="22"/>
    </w:rPr>
  </w:style>
  <w:style w:type="character" w:styleId="ListLabel283">
    <w:name w:val="ListLabel 283"/>
    <w:qFormat/>
    <w:rPr>
      <w:rFonts w:ascii="Times New Roman" w:hAnsi="Times New Roman"/>
      <w:color w:val="000000"/>
      <w:sz w:val="22"/>
    </w:rPr>
  </w:style>
  <w:style w:type="character" w:styleId="ListLabel284">
    <w:name w:val="ListLabel 284"/>
    <w:qFormat/>
    <w:rPr>
      <w:rFonts w:ascii="Times New Roman" w:hAnsi="Times New Roman"/>
      <w:color w:val="000000"/>
      <w:sz w:val="22"/>
    </w:rPr>
  </w:style>
  <w:style w:type="character" w:styleId="ListLabel285">
    <w:name w:val="ListLabel 28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86">
    <w:name w:val="ListLabel 286"/>
    <w:qFormat/>
    <w:rPr>
      <w:bCs/>
      <w:color w:val="000000"/>
      <w:sz w:val="22"/>
      <w:szCs w:val="22"/>
      <w:highlight w:val="white"/>
      <w:lang w:eastAsia="en-US"/>
    </w:rPr>
  </w:style>
  <w:style w:type="character" w:styleId="ListLabel287">
    <w:name w:val="ListLabel 287"/>
    <w:qFormat/>
    <w:rPr>
      <w:color w:val="000000"/>
      <w:highlight w:val="white"/>
    </w:rPr>
  </w:style>
  <w:style w:type="character" w:styleId="ListLabel288">
    <w:name w:val="ListLabel 288"/>
    <w:qFormat/>
    <w:rPr>
      <w:color w:val="000000"/>
      <w:highlight w:val="whit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uiPriority w:val="99"/>
    <w:semiHidden/>
    <w:unhideWhenUsed/>
    <w:rsid w:val="00fe44c6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uiPriority w:val="99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056b2a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uiPriority w:val="99"/>
    <w:rsid w:val="003d0f1b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515a7a"/>
    <w:pPr/>
    <w:rPr>
      <w:sz w:val="24"/>
    </w:rPr>
  </w:style>
  <w:style w:type="paragraph" w:styleId="ListParagraph">
    <w:name w:val="List Paragraph"/>
    <w:basedOn w:val="Normal"/>
    <w:uiPriority w:val="34"/>
    <w:qFormat/>
    <w:rsid w:val="00bc1d33"/>
    <w:pPr>
      <w:spacing w:before="0" w:after="0"/>
      <w:ind w:left="720" w:hanging="0"/>
      <w:contextualSpacing/>
    </w:pPr>
    <w:rPr/>
  </w:style>
  <w:style w:type="paragraph" w:styleId="Style24">
    <w:name w:val="Footer"/>
    <w:basedOn w:val="Normal"/>
    <w:uiPriority w:val="99"/>
    <w:unhideWhenUsed/>
    <w:rsid w:val="00244d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5036e"/>
    <w:pPr/>
    <w:rPr>
      <w:rFonts w:ascii="Segoe UI" w:hAnsi="Segoe UI" w:cs="Segoe UI"/>
      <w:sz w:val="18"/>
      <w:szCs w:val="18"/>
    </w:rPr>
  </w:style>
  <w:style w:type="paragraph" w:styleId="DocumentMap" w:customStyle="1">
    <w:name w:val="DocumentMap"/>
    <w:qFormat/>
    <w:pPr>
      <w:widowControl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99"/>
    <w:rsid w:val="00d15a4f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rivova@elseti.ru" TargetMode="External"/><Relationship Id="rId3" Type="http://schemas.openxmlformats.org/officeDocument/2006/relationships/hyperlink" Target="http://www.tarif26.ru/" TargetMode="External"/><Relationship Id="rId4" Type="http://schemas.openxmlformats.org/officeDocument/2006/relationships/hyperlink" Target="consultantplus://offline/ref=9B1DA0D6A21656FA2588101E31F6C83461CB15D080B583878A5154F6A3E0C6ACB0461A5E581DA191796DA101EBL91EB" TargetMode="External"/><Relationship Id="rId5" Type="http://schemas.openxmlformats.org/officeDocument/2006/relationships/hyperlink" Target="consultantplus://offline/ref=9B1DA0D6A21656FA2588101E31F6C83461CB15D080B583878A5154F6A3E0C6ACB0461A5E581DA191796DA101EBL91EB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Application>LibreOffice/6.1.3.2$Windows_X86_64 LibreOffice_project/86daf60bf00efa86ad547e59e09d6bb77c699acb</Application>
  <Pages>8</Pages>
  <Words>3383</Words>
  <Characters>27668</Characters>
  <CharactersWithSpaces>31587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2021-02-25T13:09:00Z</dcterms:created>
  <dc:creator>Zamashchikova Galina</dc:creator>
  <dc:description/>
  <dc:language>ru-RU</dc:language>
  <cp:lastModifiedBy/>
  <cp:lastPrinted>2021-08-24T10:12:48Z</cp:lastPrinted>
  <dcterms:modified xsi:type="dcterms:W3CDTF">2023-07-31T14:13:50Z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